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УЧЕБНОГО ПРЕДМЕТА </w:t>
      </w: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>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152492">
        <w:rPr>
          <w:rFonts w:ascii="Times New Roman" w:eastAsia="Arial Unicode MS" w:hAnsi="Times New Roman"/>
          <w:b/>
          <w:sz w:val="32"/>
          <w:szCs w:val="32"/>
        </w:rPr>
        <w:t>иология</w:t>
      </w:r>
      <w:bookmarkEnd w:id="1"/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913E82" w:rsidRPr="00913E82" w:rsidRDefault="00913E82" w:rsidP="00913E82">
      <w:pPr>
        <w:keepNext/>
        <w:keepLine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913E82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913E82">
        <w:rPr>
          <w:rFonts w:ascii="Times New Roman" w:eastAsia="Arial Unicode MS" w:hAnsi="Times New Roman"/>
          <w:sz w:val="24"/>
          <w:szCs w:val="24"/>
          <w:u w:val="single"/>
        </w:rPr>
        <w:t>13.02.12 «Электрические станции, сети, их релейная защита и автоматизация»</w:t>
      </w:r>
    </w:p>
    <w:p w:rsidR="008B5B5D" w:rsidRDefault="00913E82" w:rsidP="00913E82">
      <w:pPr>
        <w:keepNext/>
        <w:keepLine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</w:rPr>
      </w:pPr>
      <w:r w:rsidRPr="00913E82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913E82">
        <w:rPr>
          <w:rFonts w:ascii="Times New Roman" w:hAnsi="Times New Roman"/>
          <w:bCs/>
          <w:sz w:val="24"/>
          <w:szCs w:val="24"/>
          <w:u w:val="single"/>
        </w:rPr>
        <w:t>техник-электрик</w:t>
      </w:r>
    </w:p>
    <w:p w:rsidR="0054763E" w:rsidRPr="00B77DCC" w:rsidRDefault="0054763E" w:rsidP="007172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B77DCC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B77DCC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1F5CD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lastRenderedPageBreak/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913E82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13E82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913E82" w:rsidRPr="00913E82">
        <w:rPr>
          <w:rFonts w:ascii="Times New Roman" w:hAnsi="Times New Roman"/>
          <w:sz w:val="24"/>
          <w:szCs w:val="24"/>
        </w:rPr>
        <w:t>13.02.12 Электрические станции, сети, их релейная защита и автоматизация, утвержденного приказом Министерства образования и науки Российской Федерации № 864 от 11 ноября 2023 г., (зарегистрирован Министерством юстиции РФ 15 декабря 2023 г. N 76436);</w:t>
      </w:r>
    </w:p>
    <w:p w:rsidR="0054763E" w:rsidRPr="00913E82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13E82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положений Федеральной образовательной программы среднего общего образования, утвержденной приказом Минпросвещения России от 18 мая 2023 г. N 371 (Зарегистрировано в Минюсте России 12 июля 2023 г. N 74228), в т.ч.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54763E" w:rsidP="0054763E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D03FCF">
        <w:rPr>
          <w:rFonts w:ascii="Times New Roman" w:eastAsia="SimSun" w:hAnsi="Times New Roman"/>
          <w:sz w:val="24"/>
          <w:szCs w:val="24"/>
        </w:rPr>
        <w:t>Османова Айшат Алиевна, преподаватель ГБПОУ РД «Технический колледж</w:t>
      </w:r>
      <w:r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Османова Айшат Алиевна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2" w:name="_heading=h.gjdgxs"/>
      <w:bookmarkStart w:id="3" w:name="_heading=h.30j0zll"/>
      <w:bookmarkStart w:id="4" w:name="_Toc83586197"/>
      <w:bookmarkStart w:id="5" w:name="_Toc199951924"/>
      <w:bookmarkStart w:id="6" w:name="_Hlk198550676"/>
      <w:bookmarkEnd w:id="2"/>
      <w:bookmarkEnd w:id="3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4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7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7"/>
    </w:p>
    <w:bookmarkEnd w:id="5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8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метапредметными и предметными результатами обучения базового уровня ФГОС СОО, приведены в </w:t>
      </w:r>
      <w:bookmarkEnd w:id="8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9" w:name="_Hlk199948677"/>
      <w:r w:rsidRPr="00A77F2C">
        <w:t xml:space="preserve">Библиотека материалов ГЛОБАЛЛАБ </w:t>
      </w:r>
      <w:hyperlink r:id="rId12" w:history="1">
        <w:r w:rsidRPr="00A77F2C">
          <w:rPr>
            <w:rStyle w:val="af5"/>
          </w:rPr>
          <w:t>ГлобалЛаб</w:t>
        </w:r>
      </w:hyperlink>
    </w:p>
    <w:bookmarkEnd w:id="9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0" w:name="_Hlk7822180"/>
      <w:bookmarkStart w:id="11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0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1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2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В процессе достижения личностных результатов освоения программы по биологии у обучающихся совершенствуется эмоциональный интеллект, предполагающий сформированность: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r w:rsidRPr="0054763E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4763E">
        <w:rPr>
          <w:rFonts w:ascii="Times New Roman" w:hAnsi="Times New Roman"/>
          <w:bCs/>
          <w:sz w:val="24"/>
          <w:szCs w:val="24"/>
        </w:rPr>
        <w:t>Метапредметные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r w:rsidRPr="0054763E">
        <w:rPr>
          <w:rFonts w:ascii="Times New Roman" w:hAnsi="Times New Roman"/>
          <w:b/>
          <w:bCs/>
          <w:sz w:val="24"/>
          <w:szCs w:val="24"/>
        </w:rPr>
        <w:t>метапредметных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сформированность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Toc151714379"/>
      <w:bookmarkEnd w:id="12"/>
      <w:r w:rsidRPr="0054763E">
        <w:rPr>
          <w:rFonts w:ascii="Times New Roman" w:hAnsi="Times New Roman"/>
          <w:sz w:val="24"/>
          <w:szCs w:val="24"/>
        </w:rPr>
        <w:t>1) 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2)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3)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4)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6)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7)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8)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9)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3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4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4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5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6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6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лопастеперые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7" w:name="_heading=h.1t3h5sf"/>
      <w:bookmarkEnd w:id="17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Дигибридное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8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8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«Микроэволюция»)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Энгельмана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Муковисцидоз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Клайнфельтера,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Серповидноклеточная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Нейрофиброматоз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r w:rsidRPr="00A77F2C">
        <w:rPr>
          <w:rFonts w:ascii="Times New Roman" w:hAnsi="Times New Roman"/>
          <w:sz w:val="24"/>
          <w:szCs w:val="24"/>
        </w:rPr>
        <w:t>Фенилкетонурия</w:t>
      </w:r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Дискуссию модерирует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эпистаз,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сверхдоминирование, комплементарность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кодоминирование,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Проявление у гетерозигот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эпистазе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шиншилловой окраски у кроликов контролируется тремя аллелями: A, a, аh.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комплементарности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комплементарности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рецессивного эпистаза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доминантного эпистаза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19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фильтровальная бумага (салфетки), стаканы)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 № 3 «Строение клетки (растения, животные, грибы) и клеточные включения (крахмал, каротиноиды,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кончике шпателя в капельке слюны слущенные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0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исчерпаемости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0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имеет самый долгий срок исчерпаемости,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2. У человека праворукость доминирует над леворукостью, кареглазость над голубоглазостью.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1" w:name="_Hlk200018147"/>
      <w:bookmarkStart w:id="22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1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2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3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Следует использовать стандартные, широко распространенные шрифты, такие как Arial, Tahoma, Verdana, Times New Roman, Calibri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3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одногруппниками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почв методом фитотестирования.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эксперимента, периодически проверяя его течение (при длительной постановке опыта)/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Описать вытоптанность участка, присвоив соответствующий балл (1 – вытаптывания нет; 2 – вытоптаны тропы; 3 – осталось немного травы вокруг деревьев; 4 – нет ни травы, ни кустарничков). При вытоптанности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охвоенным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вытоптанности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( –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4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5" w:name="_Hlk200018642"/>
      <w:bookmarkEnd w:id="24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Следует использовать стандартные, широко распространенные шрифты, такие как Arial, Tahoma, Verdana, Times New Roman, Calibri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6" w:name="_Toc199951930"/>
      <w:bookmarkEnd w:id="25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lastRenderedPageBreak/>
        <w:t>2.2. Оценочные материалы тематического контроля по дисциплине «Биология»</w:t>
      </w:r>
      <w:bookmarkEnd w:id="26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Азотистое основание аденин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цитозину;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урацилу;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тимину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b/>
          <w:sz w:val="24"/>
          <w:szCs w:val="24"/>
        </w:rPr>
        <w:t>аденин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гуанин и цитозин;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цитозин и урацил;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урацил и аденин.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Выберите функцию иРНК?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>) мезосом;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Гольджи.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рибосомы и мезосомы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комплекс Гольджи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комплекс Гольджи.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центриоли и центромеру;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центромеру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хемосинтезирующие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связывание аминокислоты с тРНК;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спирализация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расхождение к полюсам двухроматидных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глутаминовая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аланин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 молекуле ДНК нуклеотиды, содержащие аденин, составляют 10%. Сколько процентов в данной молекуле нуклеотидов, содержащих цитозин?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18. В молекуле РНК нуклеотиды, содержащие урацил, составляют – 30% и аденин – 40%. Сколько процентов адениловых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7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содержание доклада, за исключением отдельных моментов, соответствует заявленной̆ теме и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раскрыта малая часть темы; поиск информации проведён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тема раскрыта хорошо, но не в полном объёме;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тема раскрыта полностью; представлен обоснованный объём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из представленной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основе представленной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основе представленной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содержит полную и четкую информацию, достаточную для формирования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8" w:name="_heading=h.3rdcrjn"/>
      <w:bookmarkEnd w:id="28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Соответствие содержания доклада заявленной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 лишь частично соответствует заявленной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доклада, за исключением отдельных моментов, соответствует заявленной теме и в полной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доклада соответствует заявленной теме и в полной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проведён поверхностно; в изложении материала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объёме; информации представлено недостаточно; в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обоснованный объём информации;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из представленной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основе представленной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основе представленной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материал, приведенный в презентации полностью соответствуют теме задания и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8-6 баллов -«3»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9" w:name="_heading=h.26in1rg"/>
      <w:bookmarkEnd w:id="29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0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lastRenderedPageBreak/>
        <w:t>2.3. Оценочные материалы промежуточной аттестации по дисциплине «Биология»</w:t>
      </w:r>
      <w:bookmarkEnd w:id="30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1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сформированности практических умений.</w:t>
      </w:r>
    </w:p>
    <w:bookmarkEnd w:id="31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трансверсии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t>гастриксин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lastRenderedPageBreak/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спирализации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 цитозоле и модифицируются также в цитозоле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в цитозоле, затем модифицируются в 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на мембране эндоплазматического ретикулума, затем модифицируются в 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 цитозоле,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эукариот  и  архебактерий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эубактерий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эубактерий и архебактерий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архебактерий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разделения соединяющей их центромеры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аппарате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аппарат Гольджи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деление центромер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спирализация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слияние гамет, или сингамия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дистантное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6) служит матрицей для синтеза иРНК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соединяются нуклеотиды, содержащие дезоксирибозу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гомозиготны,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аа × аа;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аа.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Aa.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Красноцветковые гомозиготные растения дают только формы с красными цветками. 2. Все потомки растений с белыми цветками будут белоцветковыми (они всегда гомозиготны). 3. Все растения от скрещивания красноцветковых гомозиготных с белоцветковыми будут красноцветковыми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гетерозиготы.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геторозиготных растений </w:t>
      </w:r>
      <w:r w:rsidRPr="00A77F2C">
        <w:rPr>
          <w:rFonts w:ascii="Times New Roman" w:hAnsi="Times New Roman"/>
          <w:sz w:val="24"/>
          <w:szCs w:val="24"/>
        </w:rPr>
        <w:br/>
      </w:r>
      <w:r w:rsidRPr="00A77F2C">
        <w:rPr>
          <w:rFonts w:ascii="Times New Roman" w:hAnsi="Times New Roman"/>
          <w:sz w:val="24"/>
          <w:szCs w:val="24"/>
        </w:rPr>
        <w:lastRenderedPageBreak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ba v × V by v; определяем гаметы: G♀: 0,5V ba + 0,5v; G♂: 0,5V bу + 0,5v; получаем потомков: F1: 0,25V baV by; 0,25V ba v; 0,25 V by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сверхдоминантность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P:♀X аX а ♂X AY A больна F1: ♀X AX а ♂ X aY A F2:♀X AX а ; ♀X аX а ;♂ X AY A ; ♂X aY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2" w:name="_Toc199170149"/>
      <w:bookmarkStart w:id="33" w:name="_Toc199951932"/>
      <w:r w:rsidRPr="00A77F2C">
        <w:t>Заключение</w:t>
      </w:r>
      <w:bookmarkEnd w:id="32"/>
      <w:bookmarkEnd w:id="33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6F0" w:rsidRDefault="000556F0">
      <w:pPr>
        <w:spacing w:after="0" w:line="240" w:lineRule="auto"/>
      </w:pPr>
      <w:r>
        <w:separator/>
      </w:r>
    </w:p>
  </w:endnote>
  <w:endnote w:type="continuationSeparator" w:id="0">
    <w:p w:rsidR="000556F0" w:rsidRDefault="00055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152492">
      <w:rPr>
        <w:noProof/>
        <w:szCs w:val="22"/>
      </w:rPr>
      <w:t>21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6F0" w:rsidRDefault="000556F0">
      <w:pPr>
        <w:spacing w:after="0" w:line="240" w:lineRule="auto"/>
      </w:pPr>
      <w:r>
        <w:separator/>
      </w:r>
    </w:p>
  </w:footnote>
  <w:footnote w:type="continuationSeparator" w:id="0">
    <w:p w:rsidR="000556F0" w:rsidRDefault="00055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7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29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0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2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1"/>
  </w:num>
  <w:num w:numId="3">
    <w:abstractNumId w:val="9"/>
  </w:num>
  <w:num w:numId="4">
    <w:abstractNumId w:val="11"/>
  </w:num>
  <w:num w:numId="5">
    <w:abstractNumId w:val="48"/>
  </w:num>
  <w:num w:numId="6">
    <w:abstractNumId w:val="50"/>
  </w:num>
  <w:num w:numId="7">
    <w:abstractNumId w:val="14"/>
  </w:num>
  <w:num w:numId="8">
    <w:abstractNumId w:val="49"/>
  </w:num>
  <w:num w:numId="9">
    <w:abstractNumId w:val="43"/>
  </w:num>
  <w:num w:numId="10">
    <w:abstractNumId w:val="41"/>
  </w:num>
  <w:num w:numId="11">
    <w:abstractNumId w:val="2"/>
  </w:num>
  <w:num w:numId="12">
    <w:abstractNumId w:val="39"/>
  </w:num>
  <w:num w:numId="13">
    <w:abstractNumId w:val="24"/>
  </w:num>
  <w:num w:numId="14">
    <w:abstractNumId w:val="20"/>
  </w:num>
  <w:num w:numId="15">
    <w:abstractNumId w:val="45"/>
  </w:num>
  <w:num w:numId="16">
    <w:abstractNumId w:val="17"/>
  </w:num>
  <w:num w:numId="17">
    <w:abstractNumId w:val="23"/>
  </w:num>
  <w:num w:numId="18">
    <w:abstractNumId w:val="21"/>
  </w:num>
  <w:num w:numId="19">
    <w:abstractNumId w:val="54"/>
  </w:num>
  <w:num w:numId="20">
    <w:abstractNumId w:val="44"/>
  </w:num>
  <w:num w:numId="21">
    <w:abstractNumId w:val="35"/>
  </w:num>
  <w:num w:numId="22">
    <w:abstractNumId w:val="51"/>
  </w:num>
  <w:num w:numId="23">
    <w:abstractNumId w:val="37"/>
  </w:num>
  <w:num w:numId="24">
    <w:abstractNumId w:val="29"/>
  </w:num>
  <w:num w:numId="25">
    <w:abstractNumId w:val="55"/>
  </w:num>
  <w:num w:numId="26">
    <w:abstractNumId w:val="42"/>
  </w:num>
  <w:num w:numId="27">
    <w:abstractNumId w:val="40"/>
  </w:num>
  <w:num w:numId="28">
    <w:abstractNumId w:val="38"/>
  </w:num>
  <w:num w:numId="29">
    <w:abstractNumId w:val="4"/>
  </w:num>
  <w:num w:numId="30">
    <w:abstractNumId w:val="36"/>
  </w:num>
  <w:num w:numId="31">
    <w:abstractNumId w:val="53"/>
  </w:num>
  <w:num w:numId="32">
    <w:abstractNumId w:val="15"/>
  </w:num>
  <w:num w:numId="33">
    <w:abstractNumId w:val="46"/>
  </w:num>
  <w:num w:numId="34">
    <w:abstractNumId w:val="26"/>
  </w:num>
  <w:num w:numId="35">
    <w:abstractNumId w:val="7"/>
  </w:num>
  <w:num w:numId="36">
    <w:abstractNumId w:val="34"/>
  </w:num>
  <w:num w:numId="37">
    <w:abstractNumId w:val="25"/>
  </w:num>
  <w:num w:numId="38">
    <w:abstractNumId w:val="27"/>
  </w:num>
  <w:num w:numId="39">
    <w:abstractNumId w:val="47"/>
  </w:num>
  <w:num w:numId="40">
    <w:abstractNumId w:val="3"/>
  </w:num>
  <w:num w:numId="41">
    <w:abstractNumId w:val="5"/>
  </w:num>
  <w:num w:numId="42">
    <w:abstractNumId w:val="30"/>
  </w:num>
  <w:num w:numId="43">
    <w:abstractNumId w:val="10"/>
  </w:num>
  <w:num w:numId="44">
    <w:abstractNumId w:val="22"/>
  </w:num>
  <w:num w:numId="45">
    <w:abstractNumId w:val="12"/>
  </w:num>
  <w:num w:numId="46">
    <w:abstractNumId w:val="1"/>
  </w:num>
  <w:num w:numId="47">
    <w:abstractNumId w:val="18"/>
  </w:num>
  <w:num w:numId="48">
    <w:abstractNumId w:val="32"/>
  </w:num>
  <w:num w:numId="49">
    <w:abstractNumId w:val="16"/>
  </w:num>
  <w:num w:numId="50">
    <w:abstractNumId w:val="8"/>
  </w:num>
  <w:num w:numId="51">
    <w:abstractNumId w:val="33"/>
  </w:num>
  <w:num w:numId="52">
    <w:abstractNumId w:val="52"/>
  </w:num>
  <w:num w:numId="53">
    <w:abstractNumId w:val="13"/>
  </w:num>
  <w:num w:numId="54">
    <w:abstractNumId w:val="19"/>
  </w:num>
  <w:num w:numId="55">
    <w:abstractNumId w:val="0"/>
  </w:num>
  <w:num w:numId="56">
    <w:abstractNumId w:val="2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215A2"/>
    <w:rsid w:val="00054BDF"/>
    <w:rsid w:val="000556F0"/>
    <w:rsid w:val="00152492"/>
    <w:rsid w:val="001F5CD5"/>
    <w:rsid w:val="00200821"/>
    <w:rsid w:val="002F79F0"/>
    <w:rsid w:val="003A7DB1"/>
    <w:rsid w:val="003E4A4F"/>
    <w:rsid w:val="0054763E"/>
    <w:rsid w:val="005576D2"/>
    <w:rsid w:val="00591C6E"/>
    <w:rsid w:val="00597F81"/>
    <w:rsid w:val="005A40A0"/>
    <w:rsid w:val="00621C04"/>
    <w:rsid w:val="00671D24"/>
    <w:rsid w:val="006C0B77"/>
    <w:rsid w:val="006D3707"/>
    <w:rsid w:val="00717285"/>
    <w:rsid w:val="007D1D38"/>
    <w:rsid w:val="008242FF"/>
    <w:rsid w:val="00870751"/>
    <w:rsid w:val="008B5B5D"/>
    <w:rsid w:val="00913E7C"/>
    <w:rsid w:val="00913E82"/>
    <w:rsid w:val="00922C48"/>
    <w:rsid w:val="009479DB"/>
    <w:rsid w:val="009A4BF2"/>
    <w:rsid w:val="00A22B34"/>
    <w:rsid w:val="00A41C45"/>
    <w:rsid w:val="00A57D44"/>
    <w:rsid w:val="00A77F2C"/>
    <w:rsid w:val="00A84914"/>
    <w:rsid w:val="00B915B7"/>
    <w:rsid w:val="00C04463"/>
    <w:rsid w:val="00C11489"/>
    <w:rsid w:val="00C21190"/>
    <w:rsid w:val="00C96436"/>
    <w:rsid w:val="00CA5EAF"/>
    <w:rsid w:val="00CA6DA2"/>
    <w:rsid w:val="00EA59DF"/>
    <w:rsid w:val="00EE4070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9803D-BBBF-47B2-9E77-0B8CE6EC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16894</Words>
  <Characters>96299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2026-01-15T08:40:00Z</dcterms:created>
  <dcterms:modified xsi:type="dcterms:W3CDTF">2026-02-02T13:49:00Z</dcterms:modified>
</cp:coreProperties>
</file>